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D6A" w14:textId="098A12F0" w:rsidR="0073501F" w:rsidRPr="00D3034B" w:rsidRDefault="00591590" w:rsidP="00D3034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034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Приложение </w:t>
      </w:r>
      <w:r w:rsidRPr="00D3034B">
        <w:rPr>
          <w:rFonts w:ascii="Times New Roman" w:hAnsi="Times New Roman" w:cs="Times New Roman"/>
          <w:b/>
          <w:bCs/>
          <w:sz w:val="24"/>
          <w:szCs w:val="24"/>
        </w:rPr>
        <w:t xml:space="preserve">№ 2 </w:t>
      </w:r>
    </w:p>
    <w:p w14:paraId="11052934" w14:textId="7FBA0A5A" w:rsidR="00591590" w:rsidRPr="00D3034B" w:rsidRDefault="00591590" w:rsidP="00D3034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034B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14:paraId="14A107EA" w14:textId="781B0713" w:rsidR="00591590" w:rsidRPr="00D3034B" w:rsidRDefault="00591590" w:rsidP="00D303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34B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9"/>
        <w:gridCol w:w="3397"/>
        <w:gridCol w:w="10490"/>
      </w:tblGrid>
      <w:tr w:rsidR="00591590" w:rsidRPr="00D3034B" w14:paraId="2AF4C80D" w14:textId="77777777" w:rsidTr="00D31FF7">
        <w:tc>
          <w:tcPr>
            <w:tcW w:w="709" w:type="dxa"/>
          </w:tcPr>
          <w:p w14:paraId="3A65A1B0" w14:textId="30741A31" w:rsidR="00591590" w:rsidRPr="00D3034B" w:rsidRDefault="00591590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397" w:type="dxa"/>
          </w:tcPr>
          <w:p w14:paraId="67F8C1CA" w14:textId="7BCA69C0" w:rsidR="00591590" w:rsidRPr="00D3034B" w:rsidRDefault="00DC2621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591590"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10490" w:type="dxa"/>
          </w:tcPr>
          <w:p w14:paraId="4D2F4EF4" w14:textId="09D12AE4" w:rsidR="00591590" w:rsidRPr="00D3034B" w:rsidRDefault="00591590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спецификация</w:t>
            </w:r>
          </w:p>
        </w:tc>
      </w:tr>
      <w:tr w:rsidR="00591590" w:rsidRPr="00D3034B" w14:paraId="1DEBE863" w14:textId="77777777" w:rsidTr="00D31FF7">
        <w:tc>
          <w:tcPr>
            <w:tcW w:w="709" w:type="dxa"/>
          </w:tcPr>
          <w:p w14:paraId="0BAB534C" w14:textId="66C52837" w:rsidR="00591590" w:rsidRPr="00D3034B" w:rsidRDefault="00591590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14:paraId="46A74368" w14:textId="5C6E439E" w:rsidR="00591590" w:rsidRPr="00D3034B" w:rsidRDefault="00591590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тест-системы для подтверждения </w:t>
            </w:r>
            <w:r w:rsidR="00D31FF7" w:rsidRPr="00D30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оложительного рез-та скрининга на ВИЧ 1.2 Ag/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: Тест-система иммуноферментная для определения антител к вирусу иммунодефицита человека первого и второго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типов ,</w:t>
            </w:r>
            <w:proofErr w:type="gram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группы 0 и антигена ВИЧ-1 (р24)в сыворотке или плазме крови человека 5х96 исследований</w:t>
            </w:r>
          </w:p>
        </w:tc>
        <w:tc>
          <w:tcPr>
            <w:tcW w:w="10490" w:type="dxa"/>
          </w:tcPr>
          <w:p w14:paraId="19D1BA7C" w14:textId="0859F6B8" w:rsidR="00591590" w:rsidRPr="00D3034B" w:rsidRDefault="00591590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твердофазного иммуноферментного анализа (ИФА), использующий смесь антигенов и антител и предназначенный для одновременного выявления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и плазме человека антител к ВИЧ 1, ВИЧ 2 и антигена к p24 ВИЧ 1, 5х96 исследований. Тест-система открытого типа 4-го поколения предназначена для качественного определения антигена ВИЧ p24 и специфичных антител к вирусам иммунодефицита человека типа 1 и 2 в сыворотке и плазме крови человека. Объем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дилюента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образца не более 25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, объём образца не менее 100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. Постановка анализа без предварительной промывки лунок. Диагностическая чувствительность должна составлять 100.0%, а результирующая специфичность не менее 99.77%. Аналитическая чувствительность тест – системы по стандарту AFSSAPS HIV Ag, в среднем должна составлять не менее 28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/мл, а по стандарту Sanofi – не менее 16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/мл. Воспроизводимость результатов внутри одной серии и разных серий должна составлять для положительных образцов - %CV &lt;4.7%, для отрицательных образцов - %CV &lt;11.3%. Наличие сертификата CE. Наличие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преквалификации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</w:p>
        </w:tc>
      </w:tr>
      <w:tr w:rsidR="001E1D25" w:rsidRPr="00D3034B" w14:paraId="60CF031A" w14:textId="77777777" w:rsidTr="00D31FF7">
        <w:tc>
          <w:tcPr>
            <w:tcW w:w="709" w:type="dxa"/>
          </w:tcPr>
          <w:p w14:paraId="7E3EE06C" w14:textId="382E0DDC" w:rsidR="001E1D25" w:rsidRPr="00D3034B" w:rsidRDefault="001E1D25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397" w:type="dxa"/>
          </w:tcPr>
          <w:p w14:paraId="4D3493DB" w14:textId="72972F70" w:rsidR="001E1D25" w:rsidRPr="00D3034B" w:rsidRDefault="001E1D25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панель сывороток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для входного контроля</w:t>
            </w:r>
            <w:proofErr w:type="gram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содержащих антитела к ВИЧ1.2 и антиген р24. </w:t>
            </w:r>
          </w:p>
        </w:tc>
        <w:tc>
          <w:tcPr>
            <w:tcW w:w="10490" w:type="dxa"/>
            <w:vAlign w:val="bottom"/>
          </w:tcPr>
          <w:p w14:paraId="751925E0" w14:textId="26F7FE96" w:rsidR="001E1D25" w:rsidRPr="00D3034B" w:rsidRDefault="00AD0E0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34EE" w:rsidRPr="00D303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бор образцов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сывороток</w:t>
            </w:r>
            <w:proofErr w:type="gram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содержащих антитела к вирусам иммунодефицита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чедовека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1,2 типов и антиген р-24. </w:t>
            </w:r>
          </w:p>
        </w:tc>
      </w:tr>
      <w:tr w:rsidR="001E1D25" w:rsidRPr="00D3034B" w14:paraId="24DD8504" w14:textId="77777777" w:rsidTr="00D31FF7">
        <w:tc>
          <w:tcPr>
            <w:tcW w:w="709" w:type="dxa"/>
          </w:tcPr>
          <w:p w14:paraId="00B6D8B0" w14:textId="59D67D6C" w:rsidR="001E1D25" w:rsidRPr="00D3034B" w:rsidRDefault="001E1D25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397" w:type="dxa"/>
          </w:tcPr>
          <w:p w14:paraId="01A37C0F" w14:textId="2D03E362" w:rsidR="001E1D25" w:rsidRPr="00D3034B" w:rsidRDefault="001E1D25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панель сывороток для входного контроля, содержащих антитела к ВИЧ1. </w:t>
            </w:r>
          </w:p>
        </w:tc>
        <w:tc>
          <w:tcPr>
            <w:tcW w:w="10490" w:type="dxa"/>
          </w:tcPr>
          <w:p w14:paraId="77DAEDB1" w14:textId="46C86BEE" w:rsidR="001E1D25" w:rsidRPr="00D3034B" w:rsidRDefault="001E1D25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Набор образцов сывороток содержащих антитела к вирусу иммунодефицита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чедовека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типа .</w:t>
            </w:r>
            <w:proofErr w:type="gramEnd"/>
          </w:p>
        </w:tc>
      </w:tr>
      <w:tr w:rsidR="001E1D25" w:rsidRPr="00D3034B" w14:paraId="56655321" w14:textId="77777777" w:rsidTr="00D31FF7">
        <w:tc>
          <w:tcPr>
            <w:tcW w:w="709" w:type="dxa"/>
          </w:tcPr>
          <w:p w14:paraId="6144B05C" w14:textId="14968389" w:rsidR="001E1D25" w:rsidRPr="00D3034B" w:rsidRDefault="001E1D25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397" w:type="dxa"/>
          </w:tcPr>
          <w:p w14:paraId="232EA552" w14:textId="0936FEA5" w:rsidR="001E1D25" w:rsidRPr="00D3034B" w:rsidRDefault="001E1D25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панель сывороток для входного контроля, содержащих антитела к ВИЧ2. </w:t>
            </w:r>
          </w:p>
        </w:tc>
        <w:tc>
          <w:tcPr>
            <w:tcW w:w="10490" w:type="dxa"/>
            <w:vAlign w:val="bottom"/>
          </w:tcPr>
          <w:p w14:paraId="4F8903D8" w14:textId="11E159CA" w:rsidR="001E1D25" w:rsidRPr="00D3034B" w:rsidRDefault="001E1D25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Набор образцов сывороток содержащих антитела к вирусу иммунодефицита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чедовека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типа .</w:t>
            </w:r>
            <w:proofErr w:type="gram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598" w:rsidRPr="00D3034B" w14:paraId="375DBF03" w14:textId="77777777" w:rsidTr="00D31FF7">
        <w:tc>
          <w:tcPr>
            <w:tcW w:w="709" w:type="dxa"/>
          </w:tcPr>
          <w:p w14:paraId="0832F4C7" w14:textId="6D40D670" w:rsidR="00486598" w:rsidRPr="00D3034B" w:rsidRDefault="0048659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397" w:type="dxa"/>
          </w:tcPr>
          <w:p w14:paraId="0704653C" w14:textId="77777777" w:rsidR="00486598" w:rsidRPr="00D3034B" w:rsidRDefault="0048659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Экспресс-тесты по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околодесневой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</w:t>
            </w:r>
          </w:p>
          <w:p w14:paraId="25E53D54" w14:textId="33DED7AA" w:rsidR="00486598" w:rsidRPr="00D3034B" w:rsidRDefault="0048659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66E7A7B" w14:textId="3F6EEB1E" w:rsidR="00486598" w:rsidRPr="00D3034B" w:rsidRDefault="00486598" w:rsidP="00D3034B">
            <w:pPr>
              <w:ind w:left="27" w:firstLine="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Тест представляет собой медицинское изделие для диагностики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(INV), которое применяется для самодиагностики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околодесневой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жидкости на наличие антитела к вирусам ВИЧ-1 и ВИЧ-2.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тест, с использованием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конъюгатов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с коллоидным селеном. 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Определяемый показатель на одной тест полоске: Антитела к ВИЧ-1, ВИЧ-2 и ВИЧ-1 группы О. Наличие в наборе одноразового тест-устройства, консерванта и флакона с проявляющимся раствором, многоразовый планшет и инструкция по применению. Время проведения теста, не более 20 минут. Чувствительность, не менее 100%. Специфичность, не менее 99,8 %. Наличие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преквалификации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ВОЗ. Наличие регистрационного удостоверения.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здравоохранения. Маркировка, потребительская упаковка и инструкция по применению медицинских изделий соответствует требованиям законодательства Республики Казахстан и порядку, установленному уполномоченным органом в области здравоохранения. Срок годности на дату поставки составляет: не менее 12 месяцев от указанного срока годности на упаковке (при сроке годности 2 года и более). Соблюдение температурного режима от +2</w:t>
            </w:r>
            <w:r w:rsidRPr="00D303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до 30</w:t>
            </w:r>
            <w:r w:rsidRPr="00D303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</w:tr>
      <w:tr w:rsidR="00A566A8" w:rsidRPr="00D3034B" w14:paraId="3CA514CC" w14:textId="77777777" w:rsidTr="00D31FF7">
        <w:tc>
          <w:tcPr>
            <w:tcW w:w="709" w:type="dxa"/>
          </w:tcPr>
          <w:p w14:paraId="2275B95F" w14:textId="6B6F8550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397" w:type="dxa"/>
          </w:tcPr>
          <w:p w14:paraId="3D7951E1" w14:textId="7BA41612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Презерватив</w:t>
            </w:r>
            <w:r w:rsidR="005617E5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мужской</w:t>
            </w:r>
          </w:p>
          <w:p w14:paraId="19553ED7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2447BC0" w14:textId="4BEE4AF2" w:rsidR="00A566A8" w:rsidRPr="00D3034B" w:rsidRDefault="00A566A8" w:rsidP="00D3034B">
            <w:pPr>
              <w:ind w:right="5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Презерватив мужской для вагинального контакта, для предотвращения </w:t>
            </w:r>
            <w:proofErr w:type="gramStart"/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распространения ВИЧ-инфекции и инфекций</w:t>
            </w:r>
            <w:proofErr w:type="gramEnd"/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передающихся половым путем, изготовлен из натурального латекса, гладкий, с силиконовой смазкой, 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проверенный электроникой</w:t>
            </w:r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Ширина кольца 52+/- 2 мм</w:t>
            </w:r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длина 180 +/- 2мм, </w:t>
            </w:r>
            <w:proofErr w:type="gramStart"/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толщина  до</w:t>
            </w:r>
            <w:proofErr w:type="gramEnd"/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0,065 мм.  Цвет - прозрачный (</w:t>
            </w:r>
            <w:proofErr w:type="spellStart"/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безцветный</w:t>
            </w:r>
            <w:proofErr w:type="spellEnd"/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). Смазка - обильная, жидкая нанесенная на всю поверхность, не дополненная тальком. Фактура – гладкая поверхность (без текстуры, ребристости).  Запах смазки - натуральный, без ароматизаторов и других посторонних запахов, без </w:t>
            </w:r>
            <w:proofErr w:type="spellStart"/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пролонгаторов</w:t>
            </w:r>
            <w:proofErr w:type="spellEnd"/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согревающих или охлаждающих добавок. Венчик (кольцо) - средней плотности. Накопитель – </w:t>
            </w:r>
            <w:proofErr w:type="spellStart"/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спермоприемник</w:t>
            </w:r>
            <w:proofErr w:type="spellEnd"/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выраженный. Упаковка - плотная фольга, квадратной формы, линии разрыва или зубчики (при упаковке в ленте) ярко выраженные, чтобы легко можно было оторвать, не повреждая упаковку соседнего презерватива, и легко вскрыть упаковку. Срок годности - не менее 2 лет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(срок годности на момент поставки не менее 80% от срока годности завода изготовителя). </w:t>
            </w:r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Наличие надписи «Бесплатно» на индивидуальной упаковке, должна быть нанесена на фольгу с помощью промышленного оборудования</w:t>
            </w:r>
            <w:r w:rsidR="00BB013F"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надпись легко читаемая.</w:t>
            </w:r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D303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Маркировка, потребительская упаковка и инструкция по применению должна соответствовать требованиям законодательства Республики Казахстан</w:t>
            </w:r>
            <w:r w:rsidR="00BB013F" w:rsidRPr="00D303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 Наличие</w:t>
            </w:r>
            <w:r w:rsidR="00E400CF" w:rsidRPr="00D303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B013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егистрационно</w:t>
            </w:r>
            <w:r w:rsidR="00BB013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удостоверени</w:t>
            </w:r>
            <w:r w:rsidR="00BB013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сертификат</w:t>
            </w:r>
            <w:r w:rsidR="00BB013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соответствия на товар</w:t>
            </w:r>
            <w:r w:rsidR="00BB013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Гарантии к условиям хранения.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Презервативы хранятся в упакованном виде, в закрытом складском помещении при температуре от 0 до 25 ˚С и относительной влажности воздуха не выше 80% на расстоянии не менее 1м от отопительных приборов.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хранении презервативы должны быть защищены от действия прямых солнечных лучей, не должны подвергаться действию масел на нефтяной основе, вазелина органических растворителей, фенолов,</w:t>
            </w:r>
            <w:r w:rsidR="00BB013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кислот,</w:t>
            </w:r>
            <w:r w:rsidR="00BB013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щелочей.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0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Гарантии к условиям перевозки.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Презервативы должны перевозиться крытым транспортом всех видов в соответствии с правилами перевозки грузов, действующими на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 данного вида, при соблюдении условий внутри кузова (относительная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влажность воздуха 80% при </w:t>
            </w:r>
            <w:proofErr w:type="gramStart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температуре  0</w:t>
            </w:r>
            <w:proofErr w:type="gramEnd"/>
            <w:r w:rsidR="005617E5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˚С).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Презервативы могут быть одобрены к распространению при условии наличия сертификата соответствия и протоколов лабораторных испытаний на данную продукцию и соблюдения правил хранения.</w:t>
            </w:r>
            <w:r w:rsidR="005617E5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наличия на упаковке презервативов указаний и/или знаков о соответствии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презервативов международным стандартам и/или национальному стандарту какой-либо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страны, должно быть наличие документов, подтверждающих такое соответствие.</w:t>
            </w:r>
            <w:r w:rsidR="00D3034B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Наличие 3-х экземпляров образца для апробаций при вскрытии конвертов.</w:t>
            </w:r>
          </w:p>
          <w:p w14:paraId="384C47D9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616D142A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Доставка в Восточно-Казахстанский областной Центр по профилактике и борьбе со СПИД </w:t>
            </w:r>
            <w:proofErr w:type="spellStart"/>
            <w:r w:rsidRPr="00D303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г.Усть-Каменогорск</w:t>
            </w:r>
            <w:proofErr w:type="spellEnd"/>
            <w:r w:rsidRPr="00D303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D303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ул.Бурова</w:t>
            </w:r>
            <w:proofErr w:type="spellEnd"/>
            <w:r w:rsidRPr="00D303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21/1: </w:t>
            </w:r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количестве 648000 (шестьсот сорок восемь тысяч) штук</w:t>
            </w:r>
          </w:p>
          <w:p w14:paraId="30AB8246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14:paraId="765882F6" w14:textId="3EB18A4D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Доставка в Центр по профилактике и борьбе со СПИД </w:t>
            </w:r>
            <w:proofErr w:type="spellStart"/>
            <w:r w:rsidRPr="00D303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г.Семей</w:t>
            </w:r>
            <w:proofErr w:type="spellEnd"/>
            <w:r w:rsidRPr="00D303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D303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ул.К.Мухамедханова</w:t>
            </w:r>
            <w:proofErr w:type="spellEnd"/>
            <w:r w:rsidRPr="00D3034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 24</w:t>
            </w:r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в количестве 187225 (сто восемьдесят семь тысяч двести двадцать пять) штук.</w:t>
            </w:r>
          </w:p>
        </w:tc>
      </w:tr>
      <w:tr w:rsidR="00A566A8" w:rsidRPr="00D3034B" w14:paraId="6F52C007" w14:textId="77777777" w:rsidTr="00D31FF7">
        <w:tc>
          <w:tcPr>
            <w:tcW w:w="709" w:type="dxa"/>
          </w:tcPr>
          <w:p w14:paraId="6B037B26" w14:textId="6C127574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397" w:type="dxa"/>
          </w:tcPr>
          <w:p w14:paraId="77592B84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Лубрикант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(тубы не менее 25 мг)</w:t>
            </w:r>
          </w:p>
          <w:p w14:paraId="7F9843C8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F6D4DEA" w14:textId="74047E09" w:rsidR="00A566A8" w:rsidRPr="00D3034B" w:rsidRDefault="00A566A8" w:rsidP="00D30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использования совместно с презервативом, для уменьшения </w:t>
            </w:r>
            <w:proofErr w:type="gramStart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передачи риска ВИЧ-инфекции и </w:t>
            </w:r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инфекций</w:t>
            </w:r>
            <w:proofErr w:type="gramEnd"/>
            <w:r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передающихся половым путем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Основа силиконовая. Смазка (гель-</w:t>
            </w:r>
            <w:proofErr w:type="spellStart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лубрикант</w:t>
            </w:r>
            <w:proofErr w:type="spellEnd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должна быть прозрачной, иметь однородную структуру, без дополнительных включений. Капля, 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ыдавленная </w:t>
            </w:r>
            <w:proofErr w:type="gramStart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ровную поверхность</w:t>
            </w:r>
            <w:proofErr w:type="gramEnd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 держать форму не растекаться и не высыхать, быть скользкой на ощупь и не впитываться в кожу на протяжении 5-10 минут.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Смазка не должна содержать ароматические отдушки, спермициды, </w:t>
            </w:r>
            <w:proofErr w:type="spellStart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пролонгаторы</w:t>
            </w:r>
            <w:proofErr w:type="spellEnd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согревающие или охлаждающие добавки, но может содержать бактерицидные вещества (хлоргексидин или другие), если их наличие в данном виде продукции предусмотрено производителем.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Смазка не должна содержать вещества, которые могут вызывать раздражение слизистых, аллергические реакции. Минимальный срок годности смазки не должен составлять менее двух лет.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Каждая смазка должна быть упакована в герметичную индивидуальную упаковку, конструкция которой должна обеспечивать легкое вскрытие руками без применения, каких-либо дополнительных средств (ножниц, иных острых предметов и т.п.).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 в</w:t>
            </w:r>
            <w:proofErr w:type="gramEnd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тубах </w:t>
            </w:r>
            <w:r w:rsidR="00D31FF7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25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мл, д</w:t>
            </w:r>
            <w:r w:rsidRPr="00D3034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опускается наличие дозатора.</w:t>
            </w:r>
            <w:r w:rsidR="00E400CF" w:rsidRPr="00D3034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5617E5" w:rsidRPr="00D303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Маркировка, потребительская упаковка и инструкция по применению должна соответствовать требованиям законодательства Республики Казахстан. </w:t>
            </w:r>
            <w:r w:rsidR="00A4489E" w:rsidRPr="00D3034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Допускается н</w:t>
            </w:r>
            <w:r w:rsidR="00A4489E"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аличие надписи «Бесплатно» </w:t>
            </w:r>
            <w:proofErr w:type="gramStart"/>
            <w:r w:rsidR="00A4489E"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 </w:t>
            </w:r>
            <w:r w:rsidR="00E400CF"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4489E"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индивидуальной</w:t>
            </w:r>
            <w:proofErr w:type="gramEnd"/>
            <w:r w:rsidR="00A4489E"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упаковке, должна быть нанесена  с помощью промышленного оборудования, надпись легко читаемая. </w:t>
            </w:r>
            <w:r w:rsidR="00E400CF"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Гарантии к условиям хранения. Смазка хранится в упакованном виде, в закрытом складском помещении при температуре от 0 до +25 ˚С и относительной влажности воздуха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выше 80% на расстоянии не менее 1 м от отопительных приборов.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хранении смазка должна быть защищена от действия прямых солнечных лучей, не должна подвергаться действию масел на нефтяной основе, вазелина, органических растворителей, фенолов, кислот, щелочей.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Гарантии к условиям перевозки. Смазка должна перевозиться крытым транспортом всех видов в соответствии с правилами перевозки грузов, действующими на транспорте данного вида, при соблюдении условий внутри </w:t>
            </w:r>
            <w:proofErr w:type="gramStart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кузова  (</w:t>
            </w:r>
            <w:proofErr w:type="gramEnd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относительная влажность воздуха 80% при </w:t>
            </w:r>
            <w:r w:rsidR="00A4489E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температуре  0+25 ˚С).</w:t>
            </w:r>
            <w:r w:rsidR="00A4489E" w:rsidRPr="00D303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BDBB6"/>
              </w:rPr>
              <w:t> 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Смазка может быть одобрена к распространению при условии наличия сертификата соответствия и протоколов лабораторных испытаний на данную продукцию и соблюдения правил хранения.</w:t>
            </w:r>
            <w:r w:rsidR="00E400CF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наличия на </w:t>
            </w:r>
            <w:proofErr w:type="gramStart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упаковке  указаний</w:t>
            </w:r>
            <w:proofErr w:type="gramEnd"/>
            <w:r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и/или знаков о соответствии международным стандартам должно быть наличие документов, подтверждающих такое соответствие.</w:t>
            </w:r>
            <w:r w:rsidR="00D3034B" w:rsidRPr="00D30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2</w:t>
            </w:r>
            <w:r w:rsidR="00D3034B"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-х экземпляров образц</w:t>
            </w:r>
            <w:r w:rsidR="00D3034B"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</w:t>
            </w:r>
            <w:r w:rsidR="00D3034B" w:rsidRPr="00D3034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для апробаций при вскрытии конвертов.</w:t>
            </w:r>
          </w:p>
        </w:tc>
      </w:tr>
      <w:tr w:rsidR="00A566A8" w:rsidRPr="00D3034B" w14:paraId="7E34322E" w14:textId="77777777" w:rsidTr="00A4489E">
        <w:trPr>
          <w:trHeight w:val="753"/>
        </w:trPr>
        <w:tc>
          <w:tcPr>
            <w:tcW w:w="709" w:type="dxa"/>
          </w:tcPr>
          <w:p w14:paraId="3767ACB1" w14:textId="32E7516D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7394D7C5" w14:textId="6C4D9040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Расходные материалы </w:t>
            </w:r>
            <w:proofErr w:type="gramStart"/>
            <w:r w:rsidR="009C2AD3"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 работы</w:t>
            </w:r>
            <w:proofErr w:type="gramEnd"/>
            <w:r w:rsidR="009C2AD3"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автоматическом </w:t>
            </w: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иммунохимическо</w:t>
            </w:r>
            <w:r w:rsidR="009C2AD3"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</w:t>
            </w: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анализатор</w:t>
            </w:r>
            <w:r w:rsidR="009C2AD3"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Alinity</w:t>
            </w:r>
            <w:proofErr w:type="spellEnd"/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F58D493" w14:textId="43DC713A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DDFCFD0" w14:textId="7743119D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13A62FAC" w14:textId="77777777" w:rsidTr="00D31FF7">
        <w:tc>
          <w:tcPr>
            <w:tcW w:w="709" w:type="dxa"/>
          </w:tcPr>
          <w:p w14:paraId="0B56D32E" w14:textId="77C3FEDB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97" w:type="dxa"/>
          </w:tcPr>
          <w:p w14:paraId="30F5BDB3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Чашечки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для  образцов</w:t>
            </w:r>
            <w:proofErr w:type="gramEnd"/>
          </w:p>
          <w:p w14:paraId="1CF03F1D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7B2063D" w14:textId="6DED042A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Чашечки для раскапывания образцов, калибровочных и контрольных сывороток. Материал - пластик. </w:t>
            </w:r>
          </w:p>
        </w:tc>
      </w:tr>
      <w:tr w:rsidR="00A566A8" w:rsidRPr="00D3034B" w14:paraId="74746C84" w14:textId="77777777" w:rsidTr="00D31FF7">
        <w:tc>
          <w:tcPr>
            <w:tcW w:w="709" w:type="dxa"/>
          </w:tcPr>
          <w:p w14:paraId="5A157F6B" w14:textId="3553C169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97" w:type="dxa"/>
          </w:tcPr>
          <w:p w14:paraId="370A8BF6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Раствор для игл кондиционирующий</w:t>
            </w:r>
          </w:p>
          <w:p w14:paraId="05C61BD1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C25E2A4" w14:textId="5CC83B30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для игл</w:t>
            </w:r>
            <w:proofErr w:type="gram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кондиционирующий (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Conditioning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Solution) используется в ходе процедур техобслуживания. После промывки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пробозаборная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игла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пипеттора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кондиционируется данным раствором с целью предотвращения неспецифического связывания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пробозаборной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игле.  Раствор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для игл</w:t>
            </w:r>
            <w:proofErr w:type="gram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кондиционирующий (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Conditioning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Solution) содержит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рекальцинированную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плазму крови человека. Консерванты: противомикробный препарат и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ProClin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300. </w:t>
            </w:r>
          </w:p>
        </w:tc>
      </w:tr>
      <w:tr w:rsidR="00A566A8" w:rsidRPr="00D3034B" w14:paraId="605F5410" w14:textId="77777777" w:rsidTr="00D31FF7">
        <w:tc>
          <w:tcPr>
            <w:tcW w:w="709" w:type="dxa"/>
          </w:tcPr>
          <w:p w14:paraId="4459919D" w14:textId="62602858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97" w:type="dxa"/>
          </w:tcPr>
          <w:p w14:paraId="256D0CAE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Игла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пипеттора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(2 шт.)</w:t>
            </w:r>
          </w:p>
          <w:p w14:paraId="3B3411C5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79A9552" w14:textId="7952FAB2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Игла забора образца/ реагента (расходный материал). Используется для подачи/забора образцов/реагентов на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анализаторе 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Внутрененнее</w:t>
            </w:r>
            <w:proofErr w:type="spellEnd"/>
            <w:proofErr w:type="gram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- тефлон, материал - метал. </w:t>
            </w:r>
          </w:p>
        </w:tc>
      </w:tr>
      <w:tr w:rsidR="00A566A8" w:rsidRPr="00D3034B" w14:paraId="04511F72" w14:textId="77777777" w:rsidTr="00D31FF7">
        <w:tc>
          <w:tcPr>
            <w:tcW w:w="709" w:type="dxa"/>
          </w:tcPr>
          <w:p w14:paraId="57C7FFB7" w14:textId="64D8FA0A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97" w:type="dxa"/>
          </w:tcPr>
          <w:p w14:paraId="65537551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Крышки для флаконов калибраторов/контролей</w:t>
            </w:r>
          </w:p>
          <w:p w14:paraId="2EAA03EC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B65328D" w14:textId="384BBB81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Крышки для флаконов калибраторов/контролей, для предотвращения розлива калибраторов/контролей. Материал - пластик. </w:t>
            </w:r>
          </w:p>
        </w:tc>
      </w:tr>
      <w:tr w:rsidR="00A566A8" w:rsidRPr="00D3034B" w14:paraId="4699B97C" w14:textId="77777777" w:rsidTr="00D31FF7">
        <w:tc>
          <w:tcPr>
            <w:tcW w:w="709" w:type="dxa"/>
          </w:tcPr>
          <w:p w14:paraId="78185B38" w14:textId="7A369C0D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97" w:type="dxa"/>
          </w:tcPr>
          <w:p w14:paraId="47F07D47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Крышки для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реагентных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флаконов</w:t>
            </w:r>
          </w:p>
          <w:p w14:paraId="59707EA2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BB70077" w14:textId="5A2F223B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Крышки для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реагентных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флаконов, для предотвращения розлива реагента. Материал - пластик. </w:t>
            </w:r>
            <w:r w:rsidR="009C2AD3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34B9868C" w14:textId="77777777" w:rsidTr="00D31FF7">
        <w:tc>
          <w:tcPr>
            <w:tcW w:w="709" w:type="dxa"/>
          </w:tcPr>
          <w:p w14:paraId="0FB2167A" w14:textId="4F9CD29B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7" w:type="dxa"/>
          </w:tcPr>
          <w:p w14:paraId="23F5C9CA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Трубочки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пробозаборника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помывочной зоны 3 шт.</w:t>
            </w:r>
          </w:p>
          <w:p w14:paraId="3E14FC32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61BD4A5" w14:textId="6B640EB0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Трубка для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прокачивания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жидкостей в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пробозаборнике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промывочной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зонны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(расходный материал). Используется для подачи, забора, рабочих жидкостей анализатора. Материал - силикон. </w:t>
            </w:r>
          </w:p>
        </w:tc>
      </w:tr>
      <w:tr w:rsidR="00A566A8" w:rsidRPr="00D3034B" w14:paraId="7FC9E711" w14:textId="77777777" w:rsidTr="00D31FF7">
        <w:tc>
          <w:tcPr>
            <w:tcW w:w="709" w:type="dxa"/>
          </w:tcPr>
          <w:p w14:paraId="4388B741" w14:textId="49C0C46F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97" w:type="dxa"/>
          </w:tcPr>
          <w:p w14:paraId="351F82DB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Трубочка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пробозаборника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аспирации отходов</w:t>
            </w:r>
          </w:p>
          <w:p w14:paraId="6EEB0AE2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4A0D6AE0" w14:textId="4685570C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Трубка руки слива. Используется для слива жидких отходов на анализаторе. Материал - силикон. </w:t>
            </w:r>
            <w:r w:rsidR="009C2AD3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1FD8F504" w14:textId="77777777" w:rsidTr="00D31FF7">
        <w:tc>
          <w:tcPr>
            <w:tcW w:w="709" w:type="dxa"/>
          </w:tcPr>
          <w:p w14:paraId="4DC81032" w14:textId="4916FA40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97" w:type="dxa"/>
          </w:tcPr>
          <w:p w14:paraId="0F643948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Делительная перегородка</w:t>
            </w:r>
          </w:p>
          <w:p w14:paraId="0F221F8A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B20AEA7" w14:textId="538A039F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Перегородка делительная используется для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улучшеной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отмывки игл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пробозаборной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реагентной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 - пластик. </w:t>
            </w:r>
            <w:r w:rsidR="009C2AD3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4EC779A5" w14:textId="77777777" w:rsidTr="00D31FF7">
        <w:tc>
          <w:tcPr>
            <w:tcW w:w="709" w:type="dxa"/>
          </w:tcPr>
          <w:p w14:paraId="0A9E55E7" w14:textId="26E74E8A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97" w:type="dxa"/>
          </w:tcPr>
          <w:p w14:paraId="381319A6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Сенсор уровня жидкости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proofErr w:type="spellEnd"/>
          </w:p>
          <w:p w14:paraId="77523371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78C5C8E" w14:textId="25588FD9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Сенсор уровня жидкости в резервуаре пре-триггера/триггера (расходный материал). Используется для контроля уровня жидкости в резервуаре пре-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тригера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/триггера на анализаторе. </w:t>
            </w:r>
            <w:r w:rsidR="009C2AD3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55ED5A71" w14:textId="77777777" w:rsidTr="00D31FF7">
        <w:tc>
          <w:tcPr>
            <w:tcW w:w="709" w:type="dxa"/>
          </w:tcPr>
          <w:p w14:paraId="68733F1D" w14:textId="71C1F4F4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7" w:type="dxa"/>
          </w:tcPr>
          <w:p w14:paraId="74CD3BC0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Сенсор уровня жидкости в резервуаре буфера</w:t>
            </w:r>
          </w:p>
          <w:p w14:paraId="28492243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8B43F4E" w14:textId="17A073FA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Сенсор уровня жидкости в резервуаре буфера (расходный материал). Используется для контроля уровня жидкости в резервуаре буфера на анализаторе. </w:t>
            </w:r>
            <w:r w:rsidR="009C2AD3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2EE8ACCC" w14:textId="77777777" w:rsidTr="00D31FF7">
        <w:tc>
          <w:tcPr>
            <w:tcW w:w="709" w:type="dxa"/>
          </w:tcPr>
          <w:p w14:paraId="5AD49B06" w14:textId="66DB4A20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97" w:type="dxa"/>
          </w:tcPr>
          <w:p w14:paraId="43CD8C7C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Раствор Триггера</w:t>
            </w:r>
          </w:p>
          <w:p w14:paraId="294C2653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966FC44" w14:textId="3CB6CA8F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Раствор Триггера расходные материалы для иммунохимического анализатора. Предназначен для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люминисценции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исследуемого образца при проведении исследований. </w:t>
            </w:r>
            <w:r w:rsidR="009C2AD3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1C4BA61D" w14:textId="77777777" w:rsidTr="00D31FF7">
        <w:tc>
          <w:tcPr>
            <w:tcW w:w="709" w:type="dxa"/>
          </w:tcPr>
          <w:p w14:paraId="002499B3" w14:textId="4767BB32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97" w:type="dxa"/>
          </w:tcPr>
          <w:p w14:paraId="10FDA77E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Раствор Пре-триггера</w:t>
            </w:r>
          </w:p>
          <w:p w14:paraId="172909F9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C7053CD" w14:textId="61065092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Раствор Пре-триггера расходные материалы для иммунохимического анализатора. Предназначен для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люминисценции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исследуемого образца при проведении исследований. </w:t>
            </w:r>
            <w:r w:rsidR="009C2AD3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156FF126" w14:textId="77777777" w:rsidTr="00D31FF7">
        <w:tc>
          <w:tcPr>
            <w:tcW w:w="709" w:type="dxa"/>
          </w:tcPr>
          <w:p w14:paraId="1AED5A35" w14:textId="1FF66F11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7" w:type="dxa"/>
          </w:tcPr>
          <w:p w14:paraId="5FB717F9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Концентрированный промывающий буфер</w:t>
            </w:r>
          </w:p>
          <w:p w14:paraId="1EAA699D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AA27505" w14:textId="2724B7A0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Концентрированный промывающий буфер расходные материалы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для  иммунохимического</w:t>
            </w:r>
            <w:proofErr w:type="gram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анализатора. Комплексный реагент, предназначенный для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деконтаминации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анализатора. </w:t>
            </w:r>
            <w:r w:rsidR="009C2AD3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42471897" w14:textId="77777777" w:rsidTr="00D31FF7">
        <w:tc>
          <w:tcPr>
            <w:tcW w:w="709" w:type="dxa"/>
          </w:tcPr>
          <w:p w14:paraId="6485B368" w14:textId="0C5D23A3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97" w:type="dxa"/>
          </w:tcPr>
          <w:p w14:paraId="56C564B1" w14:textId="48D1565A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Ячейка реакционная</w:t>
            </w:r>
          </w:p>
          <w:p w14:paraId="78407C3D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5CEB19BC" w14:textId="4C40E904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Ячйека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реакционная предназначена для смешивания растворов, сыворотки, проведения фотоэлектрического считывания. Материал - пластик. </w:t>
            </w:r>
            <w:r w:rsidR="009C2AD3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4F8334AD" w14:textId="77777777" w:rsidTr="00D31FF7">
        <w:tc>
          <w:tcPr>
            <w:tcW w:w="709" w:type="dxa"/>
          </w:tcPr>
          <w:p w14:paraId="0F3E996A" w14:textId="0FB76ED6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97" w:type="dxa"/>
          </w:tcPr>
          <w:p w14:paraId="07863206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Игла аспирации промывочной зоны</w:t>
            </w:r>
          </w:p>
          <w:p w14:paraId="6F903CE4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0B7CD850" w14:textId="7F688575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Игла промывочной зоны (расходный материал). Используется для подачи и отбора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помывающего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буфера в реакционную ячейку во время проведения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реакции, </w:t>
            </w:r>
            <w:r w:rsidR="00E400CF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на иммунохимическом анализаторе. Материал - метал. </w:t>
            </w:r>
            <w:r w:rsidR="008D49CD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6CD81519" w14:textId="77777777" w:rsidTr="00D31FF7">
        <w:tc>
          <w:tcPr>
            <w:tcW w:w="709" w:type="dxa"/>
          </w:tcPr>
          <w:p w14:paraId="6EB206F2" w14:textId="78028049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97" w:type="dxa"/>
          </w:tcPr>
          <w:p w14:paraId="55C889FE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Разбавитель общий</w:t>
            </w:r>
          </w:p>
          <w:p w14:paraId="3EC15BA3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AE56172" w14:textId="255DE552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Разбавитель общий расходные материалы для иммунохимического анализатора. Многокомпонентный разбавитель, предназначенный для ручного разведения образцов. </w:t>
            </w:r>
            <w:r w:rsidR="008D49CD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413F6670" w14:textId="77777777" w:rsidTr="00D31FF7">
        <w:tc>
          <w:tcPr>
            <w:tcW w:w="709" w:type="dxa"/>
          </w:tcPr>
          <w:p w14:paraId="313E123C" w14:textId="0FF49D5C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97" w:type="dxa"/>
          </w:tcPr>
          <w:p w14:paraId="32D37930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Калибратор HIV Ag/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E6768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1BE1D1EE" w14:textId="739DD3AA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Калибратор. Используется для калибровки тест системы для выявления ВИЧ-инфекции на иммунохимическом анализаторе при </w:t>
            </w:r>
            <w:proofErr w:type="gram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одно-временном</w:t>
            </w:r>
            <w:proofErr w:type="gram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качественном определении антигена HIV p24 и антител к вирусу иммунодефицита человека типов 1 и/или 2 (HIV-1/HIV-2) в сыворотке или плазме крови человека. Состав набора: 1 флакон (3 мл) содержит очищенный вирусный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лизат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HIV, 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подготовленный в TRIS-буферном физиологическом растворе с протеиновым (бычьим) </w:t>
            </w:r>
            <w:r w:rsidR="00D3034B" w:rsidRPr="00D303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табилизатором. Консервант: азид натрия. </w:t>
            </w:r>
            <w:r w:rsidR="008D49CD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2B54D13F" w14:textId="77777777" w:rsidTr="00D31FF7">
        <w:tc>
          <w:tcPr>
            <w:tcW w:w="709" w:type="dxa"/>
          </w:tcPr>
          <w:p w14:paraId="079A3C43" w14:textId="22B60B2C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397" w:type="dxa"/>
          </w:tcPr>
          <w:p w14:paraId="56DD3A6D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Контроль HIV Ag/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</w:p>
          <w:p w14:paraId="43069A13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6F51AC88" w14:textId="793683C0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материалы предназначены для оценки воспроизводимости теста для выявления ВИЧ-инфекции и выявления систематических аналитических погрешностей в рабочих характеристиках иммунохимического анализатора при одновременном качественном определении антигена HIV p24 и антител к вирусу иммунодефицита человека типа 1 и/или 2 (HIV1/HIV-2) в сыворотке или плазме крови человека. Состав набора: 4 флакона (8 мл). Отрицательный контроль, Положительный контроль 1 и Положительный контроль 2 подготовлены в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рекальцинированной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плазме крови человека. Положительный контроль 1 (инактивированный)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реактивен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на анти-HIV-1. Положительный контроль 2 (инактивированный)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реактивен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на анти-HIV-2. Положительный контроль 3 является очищенным вирусным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лизатом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HIV, подготовленным в TRIS-буферном физиологическом растворе с протеиновым (бычьим) стабилизатором. Консерванты для </w:t>
            </w:r>
            <w:r w:rsidR="00D3034B" w:rsidRPr="00D303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трицательного контроля, положительного контроля 1 и положительного контроля 2: азид натрия и противомикробный препарат. Консервант для положительного контроля 3: азид натрия. </w:t>
            </w:r>
            <w:r w:rsidR="008D49CD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6A8" w:rsidRPr="00D3034B" w14:paraId="3B0FAB4F" w14:textId="77777777" w:rsidTr="00D31FF7">
        <w:tc>
          <w:tcPr>
            <w:tcW w:w="709" w:type="dxa"/>
          </w:tcPr>
          <w:p w14:paraId="103CB937" w14:textId="2AA97E88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397" w:type="dxa"/>
          </w:tcPr>
          <w:p w14:paraId="01D98EAA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Реагент HIV Ag/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</w:p>
          <w:p w14:paraId="049A39F1" w14:textId="77777777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14:paraId="2BAD868D" w14:textId="3B696186" w:rsidR="00A566A8" w:rsidRPr="00D3034B" w:rsidRDefault="00A566A8" w:rsidP="00D30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Тест с использованием ВИЧ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Комбо Реагенты является хемилюминесцентным </w:t>
            </w:r>
            <w:proofErr w:type="spellStart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>иммуноанализом</w:t>
            </w:r>
            <w:proofErr w:type="spellEnd"/>
            <w:r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на микрочастицах (CMIA) для одновременного качественного определения антигена HIV p24 и антител к вирусу иммунодефицита человека типа 1 (HIV-1 группы М и О) и/или 2 (HIV-2) в сыворотке или плазме крови человека на иммунохимическом анализаторе. </w:t>
            </w:r>
            <w:r w:rsidR="008D49CD" w:rsidRPr="00D3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EB4E87" w14:textId="77777777" w:rsidR="00591590" w:rsidRPr="00D3034B" w:rsidRDefault="00591590" w:rsidP="00D303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90205" w14:textId="592B2D20" w:rsidR="00591590" w:rsidRPr="00D3034B" w:rsidRDefault="00E34D1F" w:rsidP="00D303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34B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686F0069" w14:textId="0C968CB7" w:rsidR="00E34D1F" w:rsidRPr="00D3034B" w:rsidRDefault="00E34D1F" w:rsidP="00D303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34B">
        <w:rPr>
          <w:rFonts w:ascii="Times New Roman" w:hAnsi="Times New Roman" w:cs="Times New Roman"/>
          <w:b/>
          <w:bCs/>
          <w:sz w:val="24"/>
          <w:szCs w:val="24"/>
        </w:rPr>
        <w:t xml:space="preserve"> Корякина О.В.</w:t>
      </w:r>
    </w:p>
    <w:p w14:paraId="06A0F990" w14:textId="1C1556AD" w:rsidR="00E34D1F" w:rsidRPr="00D3034B" w:rsidRDefault="00E34D1F" w:rsidP="00D303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034B">
        <w:rPr>
          <w:rFonts w:ascii="Times New Roman" w:hAnsi="Times New Roman" w:cs="Times New Roman"/>
          <w:b/>
          <w:bCs/>
          <w:sz w:val="24"/>
          <w:szCs w:val="24"/>
        </w:rPr>
        <w:t>Кениспекова</w:t>
      </w:r>
      <w:proofErr w:type="spellEnd"/>
      <w:r w:rsidRPr="00D303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3034B">
        <w:rPr>
          <w:rFonts w:ascii="Times New Roman" w:hAnsi="Times New Roman" w:cs="Times New Roman"/>
          <w:b/>
          <w:bCs/>
          <w:sz w:val="24"/>
          <w:szCs w:val="24"/>
        </w:rPr>
        <w:t>С.К</w:t>
      </w:r>
      <w:proofErr w:type="gramEnd"/>
    </w:p>
    <w:p w14:paraId="79AAF240" w14:textId="208C1C6C" w:rsidR="00E34D1F" w:rsidRPr="00D3034B" w:rsidRDefault="00E34D1F" w:rsidP="00D303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34B">
        <w:rPr>
          <w:rFonts w:ascii="Times New Roman" w:hAnsi="Times New Roman" w:cs="Times New Roman"/>
          <w:b/>
          <w:bCs/>
          <w:sz w:val="24"/>
          <w:szCs w:val="24"/>
        </w:rPr>
        <w:t xml:space="preserve">Гуляева Т.Н. </w:t>
      </w:r>
    </w:p>
    <w:sectPr w:rsidR="00E34D1F" w:rsidRPr="00D3034B" w:rsidSect="00DC26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2899"/>
    <w:multiLevelType w:val="hybridMultilevel"/>
    <w:tmpl w:val="5F269A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E3"/>
    <w:rsid w:val="00003ED6"/>
    <w:rsid w:val="00043055"/>
    <w:rsid w:val="00044BA4"/>
    <w:rsid w:val="0006212F"/>
    <w:rsid w:val="00093664"/>
    <w:rsid w:val="000A4143"/>
    <w:rsid w:val="000E4724"/>
    <w:rsid w:val="0019246E"/>
    <w:rsid w:val="001A73B5"/>
    <w:rsid w:val="001E1D25"/>
    <w:rsid w:val="00292908"/>
    <w:rsid w:val="0039705C"/>
    <w:rsid w:val="003972E3"/>
    <w:rsid w:val="00457C11"/>
    <w:rsid w:val="00486598"/>
    <w:rsid w:val="005043E6"/>
    <w:rsid w:val="005617E5"/>
    <w:rsid w:val="00591590"/>
    <w:rsid w:val="00597F74"/>
    <w:rsid w:val="005F7E1B"/>
    <w:rsid w:val="00620ABC"/>
    <w:rsid w:val="006334EE"/>
    <w:rsid w:val="00712D63"/>
    <w:rsid w:val="0073501F"/>
    <w:rsid w:val="00781360"/>
    <w:rsid w:val="00805449"/>
    <w:rsid w:val="008D49CD"/>
    <w:rsid w:val="008F2912"/>
    <w:rsid w:val="0093635D"/>
    <w:rsid w:val="0097520C"/>
    <w:rsid w:val="009B0572"/>
    <w:rsid w:val="009C2AD3"/>
    <w:rsid w:val="00A4489E"/>
    <w:rsid w:val="00A50926"/>
    <w:rsid w:val="00A566A8"/>
    <w:rsid w:val="00AA0C7C"/>
    <w:rsid w:val="00AD0E08"/>
    <w:rsid w:val="00BB013F"/>
    <w:rsid w:val="00C80200"/>
    <w:rsid w:val="00CE5943"/>
    <w:rsid w:val="00CF7AC4"/>
    <w:rsid w:val="00D13897"/>
    <w:rsid w:val="00D3034B"/>
    <w:rsid w:val="00D31FF7"/>
    <w:rsid w:val="00D6590D"/>
    <w:rsid w:val="00D8459A"/>
    <w:rsid w:val="00DC2621"/>
    <w:rsid w:val="00E13CED"/>
    <w:rsid w:val="00E245D6"/>
    <w:rsid w:val="00E34D1F"/>
    <w:rsid w:val="00E400CF"/>
    <w:rsid w:val="00EC143F"/>
    <w:rsid w:val="00EF5C90"/>
    <w:rsid w:val="00F124AD"/>
    <w:rsid w:val="00F97C81"/>
    <w:rsid w:val="00FB1908"/>
    <w:rsid w:val="00F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0243"/>
  <w15:chartTrackingRefBased/>
  <w15:docId w15:val="{A186808F-6508-43BF-958F-C0B77F95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2021-11-19T08:58:00Z</cp:lastPrinted>
  <dcterms:created xsi:type="dcterms:W3CDTF">2021-06-28T03:36:00Z</dcterms:created>
  <dcterms:modified xsi:type="dcterms:W3CDTF">2021-11-19T08:58:00Z</dcterms:modified>
</cp:coreProperties>
</file>